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sz w:val="28"/>
          <w:sz w:val="28"/>
          <w:szCs w:val="28"/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sz w:val="28"/>
          <w:szCs w:val="28"/>
        </w:rPr>
        <w:t>Уважаемые коллеги!</w:t>
      </w:r>
      <w:r/>
    </w:p>
    <w:p>
      <w:pPr>
        <w:pStyle w:val="Normal"/>
        <w:spacing w:lineRule="auto" w:line="360"/>
        <w:jc w:val="center"/>
        <w:rPr>
          <w:sz w:val="28"/>
          <w:sz w:val="28"/>
          <w:szCs w:val="28"/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      </w:t>
      </w:r>
      <w:r>
        <w:rPr>
          <w:rFonts w:eastAsia="Calibri" w:cs="Times New Roman" w:ascii="Times New Roman" w:hAnsi="Times New Roman"/>
          <w:sz w:val="28"/>
          <w:szCs w:val="28"/>
        </w:rPr>
        <w:t xml:space="preserve">Международный исследовательский центр «Научное сотрудничество» </w:t>
      </w:r>
      <w:r/>
    </w:p>
    <w:p>
      <w:pPr>
        <w:pStyle w:val="Normal"/>
        <w:spacing w:lineRule="auto" w:line="360"/>
        <w:jc w:val="center"/>
        <w:rPr>
          <w:sz w:val="28"/>
          <w:i/>
          <w:b/>
          <w:sz w:val="28"/>
          <w:i/>
          <w:b/>
          <w:szCs w:val="28"/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b/>
          <w:i/>
          <w:sz w:val="28"/>
          <w:szCs w:val="28"/>
        </w:rPr>
        <w:t>(г. Ростов-на-Дону, Россия)</w:t>
      </w:r>
      <w:r/>
    </w:p>
    <w:p>
      <w:pPr>
        <w:pStyle w:val="Normal"/>
        <w:spacing w:lineRule="auto" w:line="360"/>
        <w:jc w:val="center"/>
        <w:rPr>
          <w:sz w:val="28"/>
          <w:i/>
          <w:b/>
          <w:sz w:val="28"/>
          <w:i/>
          <w:b/>
          <w:szCs w:val="28"/>
          <w:rFonts w:ascii="Times New Roman" w:hAnsi="Times New Roman" w:eastAsia="Calibri" w:cs="Times New Roman"/>
        </w:rPr>
      </w:pPr>
      <w:hyperlink r:id="rId2">
        <w:r>
          <w:rPr>
            <w:rStyle w:val="Style14"/>
            <w:rFonts w:eastAsia="Calibri" w:cs="Times New Roman" w:ascii="Times New Roman" w:hAnsi="Times New Roman"/>
            <w:b/>
            <w:i/>
            <w:sz w:val="28"/>
            <w:szCs w:val="28"/>
            <w:lang w:val="en-US"/>
          </w:rPr>
          <w:t>www</w:t>
        </w:r>
        <w:r>
          <w:rPr>
            <w:rStyle w:val="Style14"/>
            <w:rFonts w:eastAsia="Calibri" w:cs="Times New Roman" w:ascii="Times New Roman" w:hAnsi="Times New Roman"/>
            <w:b/>
            <w:i/>
            <w:sz w:val="28"/>
            <w:szCs w:val="28"/>
          </w:rPr>
          <w:t>.</w:t>
        </w:r>
        <w:r>
          <w:rPr>
            <w:rStyle w:val="Style14"/>
            <w:rFonts w:eastAsia="Calibri" w:cs="Times New Roman" w:ascii="Times New Roman" w:hAnsi="Times New Roman"/>
            <w:b/>
            <w:i/>
            <w:sz w:val="28"/>
            <w:szCs w:val="28"/>
            <w:lang w:val="en-US"/>
          </w:rPr>
          <w:t>sci</w:t>
        </w:r>
        <w:r>
          <w:rPr>
            <w:rStyle w:val="Style14"/>
            <w:rFonts w:eastAsia="Calibri" w:cs="Times New Roman" w:ascii="Times New Roman" w:hAnsi="Times New Roman"/>
            <w:b/>
            <w:i/>
            <w:sz w:val="28"/>
            <w:szCs w:val="28"/>
          </w:rPr>
          <w:t>-</w:t>
        </w:r>
        <w:r>
          <w:rPr>
            <w:rStyle w:val="Style14"/>
            <w:rFonts w:eastAsia="Calibri" w:cs="Times New Roman" w:ascii="Times New Roman" w:hAnsi="Times New Roman"/>
            <w:b/>
            <w:i/>
            <w:sz w:val="28"/>
            <w:szCs w:val="28"/>
            <w:lang w:val="en-US"/>
          </w:rPr>
          <w:t>cooperation</w:t>
        </w:r>
        <w:r>
          <w:rPr>
            <w:rStyle w:val="Style14"/>
            <w:rFonts w:eastAsia="Calibri" w:cs="Times New Roman" w:ascii="Times New Roman" w:hAnsi="Times New Roman"/>
            <w:b/>
            <w:i/>
            <w:sz w:val="28"/>
            <w:szCs w:val="28"/>
          </w:rPr>
          <w:t>.</w:t>
        </w:r>
        <w:r>
          <w:rPr>
            <w:rStyle w:val="Style14"/>
            <w:rFonts w:eastAsia="Calibri" w:cs="Times New Roman" w:ascii="Times New Roman" w:hAnsi="Times New Roman"/>
            <w:b/>
            <w:i/>
            <w:sz w:val="28"/>
            <w:szCs w:val="28"/>
            <w:lang w:val="en-US"/>
          </w:rPr>
          <w:t>ru</w:t>
        </w:r>
      </w:hyperlink>
      <w:r/>
    </w:p>
    <w:p>
      <w:pPr>
        <w:pStyle w:val="Normal"/>
        <w:spacing w:lineRule="auto" w:line="360"/>
        <w:jc w:val="center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31 марта 2015 года</w:t>
      </w:r>
      <w:r/>
    </w:p>
    <w:p>
      <w:pPr>
        <w:pStyle w:val="Normal"/>
        <w:spacing w:lineRule="auto" w:line="360"/>
        <w:jc w:val="center"/>
        <w:rPr>
          <w:sz w:val="28"/>
          <w:sz w:val="28"/>
          <w:szCs w:val="28"/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sz w:val="28"/>
          <w:szCs w:val="28"/>
        </w:rPr>
        <w:t>ПРОВОДИТ</w:t>
      </w:r>
      <w:r/>
    </w:p>
    <w:p>
      <w:pPr>
        <w:pStyle w:val="Normal"/>
        <w:spacing w:lineRule="auto" w:line="240"/>
        <w:jc w:val="center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Международную молодежную мультидисциплинарную </w:t>
      </w:r>
      <w:r/>
    </w:p>
    <w:p>
      <w:pPr>
        <w:pStyle w:val="Normal"/>
        <w:spacing w:lineRule="auto" w:line="240"/>
        <w:jc w:val="center"/>
        <w:rPr>
          <w:sz w:val="28"/>
          <w:b/>
          <w:sz w:val="28"/>
          <w:b/>
          <w:szCs w:val="28"/>
          <w:rFonts w:ascii="Times New Roman" w:hAnsi="Times New Roman" w:eastAsia="Calibri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научно-практическую конференцию</w:t>
      </w:r>
      <w:r/>
    </w:p>
    <w:p>
      <w:pPr>
        <w:pStyle w:val="Normal"/>
        <w:spacing w:lineRule="auto" w:line="360"/>
        <w:jc w:val="center"/>
        <w:rPr>
          <w:sz w:val="24"/>
          <w:b/>
          <w:sz w:val="24"/>
          <w:b/>
          <w:szCs w:val="24"/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«ВКЛАД СОВРЕМЕННЫХ МОЛОДЫХ УЧЕНЫХ В НАУКУ БУДУЩЕГО»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К участию в конференции и публикации материалов приглашаются студенты, бакалавры, магистры, аспиранты, соискатели и молодые ученые. При самостоятельной подаче материалов, студентам, бакалаврам и магистрантам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  необходимо предоставить рецензию научного руководителя. При подаче материалов к публикации в соавторстве с научным руководителем, рецензия не требуется. </w:t>
      </w:r>
      <w:r/>
    </w:p>
    <w:p>
      <w:pPr>
        <w:pStyle w:val="Normal"/>
        <w:spacing w:lineRule="auto" w:line="360"/>
        <w:jc w:val="center"/>
        <w:rPr>
          <w:sz w:val="28"/>
          <w:u w:val="single"/>
          <w:b/>
          <w:sz w:val="28"/>
          <w:b/>
          <w:szCs w:val="28"/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b/>
          <w:sz w:val="28"/>
          <w:szCs w:val="28"/>
          <w:u w:val="single"/>
        </w:rPr>
        <w:t>СЕКЦИИ КОНФЕРЕНЦИИ:</w:t>
      </w:r>
      <w:r/>
    </w:p>
    <w:p>
      <w:pPr>
        <w:pStyle w:val="ListParagraph"/>
        <w:numPr>
          <w:ilvl w:val="0"/>
          <w:numId w:val="1"/>
        </w:numPr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Гуманитарные науки.</w:t>
      </w:r>
      <w:r/>
    </w:p>
    <w:p>
      <w:pPr>
        <w:pStyle w:val="ListParagraph"/>
        <w:numPr>
          <w:ilvl w:val="0"/>
          <w:numId w:val="1"/>
        </w:numPr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Естественные науки.</w:t>
      </w:r>
      <w:r/>
    </w:p>
    <w:p>
      <w:pPr>
        <w:pStyle w:val="ListParagraph"/>
        <w:numPr>
          <w:ilvl w:val="0"/>
          <w:numId w:val="1"/>
        </w:numPr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Медицинские науки</w:t>
      </w:r>
      <w:r/>
    </w:p>
    <w:p>
      <w:pPr>
        <w:pStyle w:val="ListParagraph"/>
        <w:numPr>
          <w:ilvl w:val="0"/>
          <w:numId w:val="1"/>
        </w:numPr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Социально-экономические науки.</w:t>
      </w:r>
      <w:r/>
    </w:p>
    <w:p>
      <w:pPr>
        <w:pStyle w:val="ListParagraph"/>
        <w:numPr>
          <w:ilvl w:val="0"/>
          <w:numId w:val="1"/>
        </w:numPr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Технические науки. </w:t>
      </w:r>
      <w:r/>
    </w:p>
    <w:p>
      <w:pPr>
        <w:pStyle w:val="ListParagraph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</w:r>
      <w:r/>
    </w:p>
    <w:p>
      <w:pPr>
        <w:pStyle w:val="ListParagraph"/>
        <w:ind w:left="0" w:hanging="0"/>
        <w:jc w:val="both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По результатам конференции будет издан сборник материалов, рассылка которого будет производиться c 1 июня 2015 года. </w:t>
      </w:r>
      <w:r>
        <w:rPr>
          <w:rFonts w:cs="Times New Roman" w:ascii="Times New Roman" w:hAnsi="Times New Roman"/>
          <w:b/>
          <w:sz w:val="28"/>
          <w:szCs w:val="28"/>
        </w:rPr>
        <w:t>СБОРНИК КОНФЕРЕНЦИИ БУДЕТ ПРОИНДЕКСИРОВАН В РОССИЙСКОМ ИНДЕКСЕ НАУЧНОГО ЦИТИРОВАНИЯ (РИНЦ)!</w:t>
      </w:r>
      <w:r/>
    </w:p>
    <w:p>
      <w:pPr>
        <w:pStyle w:val="Normal"/>
        <w:spacing w:lineRule="auto" w:line="240"/>
        <w:jc w:val="both"/>
        <w:rPr>
          <w:sz w:val="28"/>
          <w:b/>
          <w:sz w:val="28"/>
          <w:b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В рамках конференции в каждой секции проводится </w:t>
      </w:r>
      <w:r>
        <w:rPr>
          <w:rFonts w:ascii="Times New Roman" w:hAnsi="Times New Roman"/>
          <w:b/>
          <w:sz w:val="28"/>
          <w:szCs w:val="28"/>
          <w:u w:val="single"/>
        </w:rPr>
        <w:t>КОНКУРС СТАТЕЙ «Научный прорыв-2015»</w:t>
      </w:r>
      <w:r>
        <w:rPr>
          <w:rFonts w:ascii="Times New Roman" w:hAnsi="Times New Roman"/>
          <w:b/>
          <w:sz w:val="28"/>
          <w:szCs w:val="28"/>
        </w:rPr>
        <w:t>:</w:t>
      </w:r>
      <w:r/>
    </w:p>
    <w:p>
      <w:pPr>
        <w:pStyle w:val="ListParagraph"/>
        <w:numPr>
          <w:ilvl w:val="0"/>
          <w:numId w:val="2"/>
        </w:numPr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«Научный прорыв в гуманитарных науках- 2015»</w:t>
      </w:r>
      <w:r/>
    </w:p>
    <w:p>
      <w:pPr>
        <w:pStyle w:val="ListParagraph"/>
        <w:numPr>
          <w:ilvl w:val="0"/>
          <w:numId w:val="2"/>
        </w:numPr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«Научный прорыв в естественных науках - 2015»</w:t>
      </w:r>
      <w:r/>
    </w:p>
    <w:p>
      <w:pPr>
        <w:pStyle w:val="ListParagraph"/>
        <w:numPr>
          <w:ilvl w:val="0"/>
          <w:numId w:val="2"/>
        </w:numPr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«Научный прорыв в медицинских науках -  2015»</w:t>
      </w:r>
      <w:r/>
    </w:p>
    <w:p>
      <w:pPr>
        <w:pStyle w:val="ListParagraph"/>
        <w:numPr>
          <w:ilvl w:val="0"/>
          <w:numId w:val="2"/>
        </w:numPr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«Научный прорыв в социально-экономических науках - 2015»</w:t>
      </w:r>
      <w:r/>
    </w:p>
    <w:p>
      <w:pPr>
        <w:pStyle w:val="ListParagraph"/>
        <w:numPr>
          <w:ilvl w:val="0"/>
          <w:numId w:val="2"/>
        </w:numPr>
        <w:rPr>
          <w:sz w:val="28"/>
          <w:sz w:val="28"/>
          <w:szCs w:val="28"/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«Научный прорыв в технических науках - 2015»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/>
    </w:p>
    <w:p>
      <w:pPr>
        <w:pStyle w:val="Normal"/>
        <w:ind w:firstLine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i/>
          <w:sz w:val="28"/>
          <w:szCs w:val="28"/>
        </w:rPr>
        <w:t>Победитель конкурса, занявший первое место, награждается Дипломом Победителя и Сертификатом на публикацию в «Международном журнале экономики и образования» в 2015 году со скидкой 20%.</w:t>
      </w:r>
      <w:r/>
    </w:p>
    <w:p>
      <w:pPr>
        <w:pStyle w:val="Normal"/>
        <w:spacing w:lineRule="auto" w:line="240"/>
        <w:ind w:firstLine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i/>
          <w:sz w:val="28"/>
          <w:szCs w:val="28"/>
        </w:rPr>
        <w:t>Участники конкурса, не удостоенные звания Победитель, награждаются Дипломами Призера и Сертификатом на публикацию в «Международном журнале экономики и образования» в 2015 году со скидкой 10%.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ЗАЯВКА </w:t>
      </w:r>
      <w:r/>
    </w:p>
    <w:p>
      <w:pPr>
        <w:pStyle w:val="Normal"/>
        <w:spacing w:lineRule="auto" w:line="240"/>
        <w:jc w:val="center"/>
        <w:rPr>
          <w:sz w:val="24"/>
          <w:b/>
          <w:sz w:val="24"/>
          <w:b/>
          <w:szCs w:val="24"/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Международная молодежная мультидисциплинарная</w:t>
      </w:r>
      <w:r/>
    </w:p>
    <w:p>
      <w:pPr>
        <w:pStyle w:val="Normal"/>
        <w:spacing w:lineRule="auto" w:line="240"/>
        <w:jc w:val="center"/>
        <w:rPr>
          <w:sz w:val="24"/>
          <w:b/>
          <w:sz w:val="24"/>
          <w:b/>
          <w:szCs w:val="24"/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научно-практическая конференция</w:t>
      </w:r>
      <w:r/>
    </w:p>
    <w:p>
      <w:pPr>
        <w:pStyle w:val="Normal"/>
        <w:spacing w:lineRule="auto" w:line="240"/>
        <w:jc w:val="center"/>
        <w:rPr>
          <w:sz w:val="24"/>
          <w:b/>
          <w:sz w:val="24"/>
          <w:b/>
          <w:szCs w:val="24"/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«ВКЛАД СОВРЕМЕННЫХ МОЛОДЫХ УЧЕНЫХ В НАУКУ БУДУЩЕГО»</w:t>
      </w:r>
      <w:r/>
    </w:p>
    <w:tbl>
      <w:tblPr>
        <w:tblW w:w="9639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2"/>
        <w:gridCol w:w="4016"/>
      </w:tblGrid>
      <w:tr>
        <w:trPr>
          <w:trHeight w:val="135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u w:val="single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Статья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5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статьи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5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страниц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5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дополнительных страниц (1 стр. – 100 руб.)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5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соавторов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5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u w:val="single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Автор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i/>
                <w:sz w:val="24"/>
                <w:i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Фамилия, имя, отчество автора (первого автора, ответственного за связь с издателем)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работы, учебы (полное название организации, факультет, кафедра)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Должность 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Ученая степень, ученое звание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Почтовый адрес (с индексом)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 мобильный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E-mail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i/>
                <w:u w:val="single"/>
                <w:sz w:val="24"/>
                <w:i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Соавтор</w:t>
            </w:r>
            <w:r/>
          </w:p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(нижеприведенная форма заполняется на каждого последующего соавтора (при наличии) путем копирования соответствующих строк в таблицу).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работы, учебы (полное название организации, факультет, кафедра)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Ученая степень, ученое звание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Почтовый адрес (с индексом)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 мобильный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u w:val="single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Дополнительные опции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конкурсе статей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«Научный прорыв-2015» </w:t>
            </w:r>
            <w:r>
              <w:rPr>
                <w:rFonts w:ascii="Times New Roman" w:hAnsi="Times New Roman"/>
                <w:sz w:val="24"/>
                <w:szCs w:val="24"/>
              </w:rPr>
              <w:t>(да, нет) (500 руб.)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Дополнительный Диплом участника конкурса статей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«Научный прорыв - 2015» </w:t>
            </w:r>
            <w:r>
              <w:rPr>
                <w:rFonts w:ascii="Times New Roman" w:hAnsi="Times New Roman"/>
                <w:sz w:val="24"/>
                <w:szCs w:val="24"/>
              </w:rPr>
              <w:t>(РФ – 250 руб., СНГ – 280 руб.)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Дополнительный диплом участника конференции (РФ – 250 руб., СНГ – 280 руб.)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рисунков (1 черно-белый рисунок – 50 руб.).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Редактирование списка литературы согласно ГОСТ (150 руб.).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дополнительных экземпляров сборника, включая пересылку (1 экз.: РФ-250 руб.; СНГ-350 руб.).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Справка, подтверждающая факт принятия материалов к печати (РФ-100 руб.; СНГ-120 руб.).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>
          <w:trHeight w:val="130" w:hRule="atLeast"/>
        </w:trPr>
        <w:tc>
          <w:tcPr>
            <w:tcW w:w="5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получения информации о данном мероприятии (название сайта).</w:t>
            </w:r>
            <w:r/>
          </w:p>
        </w:tc>
        <w:tc>
          <w:tcPr>
            <w:tcW w:w="4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</w:tbl>
    <w:p>
      <w:pPr>
        <w:pStyle w:val="Normal"/>
        <w:spacing w:lineRule="auto" w:line="240"/>
        <w:jc w:val="both"/>
        <w:rPr>
          <w:sz w:val="24"/>
          <w:i/>
          <w:u w:val="single"/>
          <w:sz w:val="24"/>
          <w:i/>
          <w:szCs w:val="24"/>
          <w:rFonts w:ascii="Times New Roman" w:hAnsi="Times New Roman"/>
        </w:rPr>
      </w:pPr>
      <w:r>
        <w:rPr>
          <w:rFonts w:ascii="Times New Roman" w:hAnsi="Times New Roman"/>
          <w:i/>
          <w:sz w:val="24"/>
          <w:szCs w:val="24"/>
          <w:u w:val="single"/>
        </w:rPr>
      </w:r>
      <w:r/>
    </w:p>
    <w:p>
      <w:pPr>
        <w:pStyle w:val="Normal"/>
        <w:spacing w:lineRule="auto" w:line="240"/>
        <w:jc w:val="both"/>
        <w:rPr>
          <w:sz w:val="28"/>
          <w:i/>
          <w:u w:val="single"/>
          <w:sz w:val="28"/>
          <w:i/>
          <w:szCs w:val="28"/>
          <w:rFonts w:ascii="Times New Roman" w:hAnsi="Times New Roman"/>
        </w:rPr>
      </w:pPr>
      <w:r>
        <w:rPr>
          <w:rFonts w:ascii="Times New Roman" w:hAnsi="Times New Roman"/>
          <w:i/>
          <w:sz w:val="28"/>
          <w:szCs w:val="28"/>
          <w:u w:val="single"/>
        </w:rPr>
        <w:t>Технические требования к оформлению материалов конференции.</w:t>
      </w:r>
      <w:r/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Рекомендуемый </w:t>
      </w:r>
      <w:r>
        <w:rPr>
          <w:rFonts w:ascii="Times New Roman" w:hAnsi="Times New Roman"/>
          <w:b/>
          <w:sz w:val="28"/>
          <w:szCs w:val="28"/>
        </w:rPr>
        <w:t>объем</w:t>
      </w:r>
      <w:r>
        <w:rPr>
          <w:rFonts w:ascii="Times New Roman" w:hAnsi="Times New Roman"/>
          <w:sz w:val="28"/>
          <w:szCs w:val="28"/>
        </w:rPr>
        <w:t xml:space="preserve"> материалов – </w:t>
      </w:r>
      <w:r>
        <w:rPr>
          <w:rFonts w:ascii="Times New Roman" w:hAnsi="Times New Roman"/>
          <w:b/>
          <w:sz w:val="28"/>
          <w:szCs w:val="28"/>
        </w:rPr>
        <w:t>от 3 до 5 страниц</w:t>
      </w:r>
      <w:r>
        <w:rPr>
          <w:rFonts w:ascii="Times New Roman" w:hAnsi="Times New Roman"/>
          <w:sz w:val="28"/>
          <w:szCs w:val="28"/>
        </w:rPr>
        <w:t xml:space="preserve"> формата А4, ориентация бумаги – книжная. Публикуемая работа должна быть тщательно отредактирована и вычитана автором (авторами). </w:t>
      </w:r>
      <w:r>
        <w:rPr>
          <w:rFonts w:ascii="Times New Roman" w:hAnsi="Times New Roman"/>
          <w:b/>
          <w:sz w:val="28"/>
          <w:szCs w:val="28"/>
        </w:rPr>
        <w:t>Материалы объемом менее 3 страниц к публикации не принимаются!</w:t>
      </w:r>
      <w:r/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Материалы предоставляются в редакторе MicrosoftWord 2003/2007. Поля со всех сторон – 2 см. Шрифт «TimesNewRoman», без автоматического переноса, цвет – черный.</w:t>
      </w:r>
      <w:r/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По левому краю </w:t>
      </w:r>
      <w:r>
        <w:rPr>
          <w:rFonts w:cs="Times New Roman" w:ascii="Times New Roman" w:hAnsi="Times New Roman"/>
          <w:b/>
          <w:sz w:val="28"/>
          <w:szCs w:val="28"/>
        </w:rPr>
        <w:t>название статьи</w:t>
      </w:r>
      <w:r>
        <w:rPr>
          <w:rFonts w:cs="Times New Roman" w:ascii="Times New Roman" w:hAnsi="Times New Roman"/>
          <w:sz w:val="28"/>
          <w:szCs w:val="28"/>
        </w:rPr>
        <w:t>, прописные буквы, не CapsLock!, (полужирный шрифт, кегль 14, междустрочный интервал – полуторный).</w:t>
      </w:r>
      <w:r/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по левому краю (курсивом, кегль 12, междустрочный интервал - полуторный) – </w:t>
      </w:r>
      <w:r>
        <w:rPr>
          <w:rFonts w:cs="Times New Roman" w:ascii="Times New Roman" w:hAnsi="Times New Roman"/>
          <w:b/>
          <w:sz w:val="28"/>
          <w:szCs w:val="28"/>
        </w:rPr>
        <w:t>фамилия автора (авторов), инициалы</w:t>
      </w:r>
      <w:r>
        <w:rPr>
          <w:rFonts w:cs="Times New Roman" w:ascii="Times New Roman" w:hAnsi="Times New Roman"/>
          <w:sz w:val="28"/>
          <w:szCs w:val="28"/>
        </w:rPr>
        <w:t xml:space="preserve">; </w:t>
      </w:r>
      <w:r/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по левому краю (кегль 12, междустрочный интервал - полуторный) </w:t>
      </w:r>
      <w:r>
        <w:rPr>
          <w:rFonts w:cs="Times New Roman" w:ascii="Times New Roman" w:hAnsi="Times New Roman"/>
          <w:b/>
          <w:sz w:val="28"/>
          <w:szCs w:val="28"/>
        </w:rPr>
        <w:t>название учебного заведения или организации</w:t>
      </w:r>
      <w:r>
        <w:rPr>
          <w:rFonts w:cs="Times New Roman" w:ascii="Times New Roman" w:hAnsi="Times New Roman"/>
          <w:sz w:val="28"/>
          <w:szCs w:val="28"/>
        </w:rPr>
        <w:t xml:space="preserve">; </w:t>
      </w:r>
      <w:r/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отступ в одну строку – по ширине, </w:t>
      </w:r>
      <w:r>
        <w:rPr>
          <w:rFonts w:cs="Times New Roman" w:ascii="Times New Roman" w:hAnsi="Times New Roman"/>
          <w:b/>
          <w:sz w:val="28"/>
          <w:szCs w:val="28"/>
        </w:rPr>
        <w:t>аннотация</w:t>
      </w:r>
      <w:r>
        <w:rPr>
          <w:rFonts w:cs="Times New Roman" w:ascii="Times New Roman" w:hAnsi="Times New Roman"/>
          <w:sz w:val="28"/>
          <w:szCs w:val="28"/>
        </w:rPr>
        <w:t xml:space="preserve"> (не более 600 знаков с пробелами), кегль 14; междустрочный интервал – полуторный.</w:t>
      </w:r>
      <w:r/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ключевые слова</w:t>
      </w:r>
      <w:r>
        <w:rPr>
          <w:rFonts w:cs="Times New Roman" w:ascii="Times New Roman" w:hAnsi="Times New Roman"/>
          <w:sz w:val="28"/>
          <w:szCs w:val="28"/>
        </w:rPr>
        <w:t xml:space="preserve"> или словосочетания отделяются друг от друга точкой с запятой (не более 15 слов);</w:t>
      </w:r>
      <w:r/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отступ в одну строку – по ширине, </w:t>
      </w:r>
      <w:r>
        <w:rPr>
          <w:rFonts w:cs="Times New Roman" w:ascii="Times New Roman" w:hAnsi="Times New Roman"/>
          <w:b/>
          <w:sz w:val="28"/>
          <w:szCs w:val="28"/>
        </w:rPr>
        <w:t>текстовая часть статьи</w:t>
      </w:r>
      <w:r>
        <w:rPr>
          <w:rFonts w:cs="Times New Roman" w:ascii="Times New Roman" w:hAnsi="Times New Roman"/>
          <w:sz w:val="28"/>
          <w:szCs w:val="28"/>
        </w:rPr>
        <w:t>; кегль 14; междустрочный интервал – полуторный; отступ (абзац) – 1,25;</w:t>
      </w:r>
      <w:r/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отступ в одну строку – </w:t>
      </w:r>
      <w:r>
        <w:rPr>
          <w:rFonts w:cs="Times New Roman" w:ascii="Times New Roman" w:hAnsi="Times New Roman"/>
          <w:b/>
          <w:sz w:val="28"/>
          <w:szCs w:val="28"/>
        </w:rPr>
        <w:t>литература</w:t>
      </w:r>
      <w:r>
        <w:rPr>
          <w:rFonts w:cs="Times New Roman" w:ascii="Times New Roman" w:hAnsi="Times New Roman"/>
          <w:sz w:val="28"/>
          <w:szCs w:val="28"/>
        </w:rPr>
        <w:t>, по ширине (кегль – 12; междустрочный интервал - одинарный).</w:t>
      </w:r>
      <w:r/>
    </w:p>
    <w:p>
      <w:pPr>
        <w:pStyle w:val="ListParagraph"/>
        <w:jc w:val="both"/>
        <w:rPr/>
      </w:pPr>
      <w:r>
        <w:rPr/>
      </w:r>
      <w:r/>
    </w:p>
    <w:p>
      <w:pPr>
        <w:pStyle w:val="Normal"/>
        <w:spacing w:lineRule="auto" w:line="24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Список использованной литературы необходимо оформлять в соответствии с Единым форматом оформления пристатейных библиографических списков в соответствии с ГОСТ Р 7.05-2008 «Библиографическая ссылка», который представлен на сайте центра </w:t>
      </w:r>
      <w:hyperlink r:id="rId3">
        <w:r>
          <w:rPr>
            <w:rStyle w:val="Style14"/>
            <w:rFonts w:cs="Times New Roman" w:ascii="Times New Roman" w:hAnsi="Times New Roman"/>
            <w:sz w:val="28"/>
            <w:szCs w:val="28"/>
          </w:rPr>
          <w:t>http://www.sci-cooperation.ru/authors/making_literature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Оформлять ссылки в тексте на соответствующий источник из списка литературы следует в квадратных скобках, например: [1, с. 277]. Использование автоматических постраничных ссылок не допускается.</w:t>
      </w:r>
      <w:r/>
    </w:p>
    <w:p>
      <w:pPr>
        <w:pStyle w:val="Normal"/>
        <w:spacing w:lineRule="auto" w:line="24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Подтекстовые сноски запрещены!</w:t>
      </w:r>
      <w:r/>
    </w:p>
    <w:p>
      <w:pPr>
        <w:pStyle w:val="Normal"/>
        <w:spacing w:lineRule="auto" w:line="24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ВНИМАНИЕ!</w:t>
      </w:r>
      <w:r/>
    </w:p>
    <w:p>
      <w:pPr>
        <w:pStyle w:val="Normal"/>
        <w:spacing w:lineRule="auto" w:line="24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Рисунки, графики и диаграммы должны быть </w:t>
      </w:r>
      <w:r>
        <w:rPr>
          <w:rFonts w:cs="Times New Roman" w:ascii="Times New Roman" w:hAnsi="Times New Roman"/>
          <w:b/>
          <w:sz w:val="28"/>
          <w:szCs w:val="28"/>
        </w:rPr>
        <w:t>черно-белыми</w:t>
      </w:r>
      <w:r>
        <w:rPr>
          <w:rFonts w:cs="Times New Roman" w:ascii="Times New Roman" w:hAnsi="Times New Roman"/>
          <w:sz w:val="28"/>
          <w:szCs w:val="28"/>
        </w:rPr>
        <w:t>. Рисунки представляются в формате «.tif». Разрешение для рисунков не менее 300 dpi. Цветовой режим CMYK.</w:t>
      </w:r>
      <w:r/>
    </w:p>
    <w:p>
      <w:pPr>
        <w:pStyle w:val="Normal"/>
        <w:spacing w:lineRule="auto" w:line="240"/>
        <w:jc w:val="both"/>
        <w:rPr>
          <w:sz w:val="28"/>
          <w:i/>
          <w:u w:val="single"/>
          <w:b/>
          <w:sz w:val="28"/>
          <w:i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Условия участия</w:t>
      </w:r>
      <w:r/>
    </w:p>
    <w:p>
      <w:pPr>
        <w:pStyle w:val="Normal"/>
        <w:spacing w:lineRule="auto" w:line="24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Для участия в конференции и конкурсе необходимо до 31 марта 2014 года направить на электронную почту Международного исследовательского центра «Научное сотрудничество» </w:t>
      </w:r>
      <w:hyperlink r:id="rId4">
        <w:r>
          <w:rPr>
            <w:rStyle w:val="Style14"/>
            <w:rFonts w:cs="Times New Roman" w:ascii="Times New Roman" w:hAnsi="Times New Roman"/>
            <w:sz w:val="28"/>
            <w:szCs w:val="28"/>
            <w:lang w:val="en-US"/>
          </w:rPr>
          <w:t>anna</w:t>
        </w:r>
        <w:r>
          <w:rPr>
            <w:rStyle w:val="Style14"/>
            <w:rFonts w:cs="Times New Roman" w:ascii="Times New Roman" w:hAnsi="Times New Roman"/>
            <w:sz w:val="28"/>
            <w:szCs w:val="28"/>
          </w:rPr>
          <w:t>.</w:t>
        </w:r>
        <w:r>
          <w:rPr>
            <w:rStyle w:val="Style14"/>
            <w:rFonts w:cs="Times New Roman" w:ascii="Times New Roman" w:hAnsi="Times New Roman"/>
            <w:sz w:val="28"/>
            <w:szCs w:val="28"/>
            <w:lang w:val="en-US"/>
          </w:rPr>
          <w:t>bondarenko</w:t>
        </w:r>
        <w:r>
          <w:rPr>
            <w:rStyle w:val="Style14"/>
            <w:rFonts w:cs="Times New Roman" w:ascii="Times New Roman" w:hAnsi="Times New Roman"/>
            <w:sz w:val="28"/>
            <w:szCs w:val="28"/>
          </w:rPr>
          <w:t>@</w:t>
        </w:r>
        <w:r>
          <w:rPr>
            <w:rStyle w:val="Style14"/>
            <w:rFonts w:cs="Times New Roman" w:ascii="Times New Roman" w:hAnsi="Times New Roman"/>
            <w:sz w:val="28"/>
            <w:szCs w:val="28"/>
            <w:lang w:val="en-US"/>
          </w:rPr>
          <w:t>sci</w:t>
        </w:r>
        <w:r>
          <w:rPr>
            <w:rStyle w:val="Style14"/>
            <w:rFonts w:cs="Times New Roman" w:ascii="Times New Roman" w:hAnsi="Times New Roman"/>
            <w:sz w:val="28"/>
            <w:szCs w:val="28"/>
          </w:rPr>
          <w:t>-</w:t>
        </w:r>
        <w:r>
          <w:rPr>
            <w:rStyle w:val="Style14"/>
            <w:rFonts w:cs="Times New Roman" w:ascii="Times New Roman" w:hAnsi="Times New Roman"/>
            <w:sz w:val="28"/>
            <w:szCs w:val="28"/>
            <w:lang w:val="en-US"/>
          </w:rPr>
          <w:t>cooperation</w:t>
        </w:r>
        <w:r>
          <w:rPr>
            <w:rStyle w:val="Style14"/>
            <w:rFonts w:cs="Times New Roman" w:ascii="Times New Roman" w:hAnsi="Times New Roman"/>
            <w:sz w:val="28"/>
            <w:szCs w:val="28"/>
          </w:rPr>
          <w:t>.</w:t>
        </w:r>
        <w:r>
          <w:rPr>
            <w:rStyle w:val="Style14"/>
            <w:rFonts w:cs="Times New Roman" w:ascii="Times New Roman" w:hAnsi="Times New Roman"/>
            <w:sz w:val="28"/>
            <w:szCs w:val="28"/>
            <w:lang w:val="en-US"/>
          </w:rPr>
          <w:t>ru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материал, оформленный по установленным требованиям, и заявку участника. Статья и заявка должны быть присланы прикрепленными файлами. Название файла со статьей должно включать слово статья и фамилию автора или первого соавтора (напр. Статья.Иванов.doc). Название файла с заявкой должно включать слово заявка и фамилию автора или первого соавтора (напр. Заявка.Иванов.doc) В теме письма необходимо указать: «К-34». 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Контактное лицо: </w:t>
      </w:r>
      <w:r>
        <w:rPr>
          <w:rFonts w:cs="Times New Roman" w:ascii="Times New Roman" w:hAnsi="Times New Roman"/>
          <w:sz w:val="28"/>
          <w:szCs w:val="28"/>
        </w:rPr>
        <w:t>конференц-менеджер МИЦ «Научное сотрудничество»Бондаренко Анна Валерьевна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r/>
    </w:p>
    <w:p>
      <w:pPr>
        <w:pStyle w:val="Normal"/>
        <w:spacing w:lineRule="auto" w:line="240"/>
        <w:ind w:firstLine="709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В течение 3-5 рабочих дней после рассмотрения Оргкомитетом присланных статей автору будет сообщено о принятии или отклонении материалов. С каждым участником конференции заключается Договор на оказание редакционно-издательских услуг, Лицензионный договор РИНЦ, выставляется счет.</w:t>
      </w:r>
      <w:r/>
    </w:p>
    <w:p>
      <w:pPr>
        <w:pStyle w:val="Normal"/>
        <w:spacing w:lineRule="auto" w:line="240"/>
        <w:ind w:firstLine="709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Оргкомитет конференции оставляет за собой право отклонить материалы, поступившие позднее указанного срока, не удовлетворяющие требованиям оформления и не соответствующие тематике конференции. Авторы/соавторы несут полную ответственность за предоставленные материалы. </w:t>
      </w:r>
      <w:r/>
    </w:p>
    <w:p>
      <w:pPr>
        <w:pStyle w:val="Normal"/>
        <w:spacing w:lineRule="auto" w:line="240"/>
        <w:jc w:val="both"/>
        <w:rPr>
          <w:sz w:val="28"/>
          <w:i/>
          <w:u w:val="single"/>
          <w:b/>
          <w:sz w:val="28"/>
          <w:i/>
          <w:b/>
          <w:szCs w:val="28"/>
          <w:rFonts w:ascii="Times New Roman" w:hAnsi="Times New Roman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Финансовые условия участия</w:t>
      </w:r>
      <w:r/>
    </w:p>
    <w:p>
      <w:pPr>
        <w:pStyle w:val="ListParagraph"/>
        <w:ind w:left="0" w:firstLine="708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ОРГАНИЗАЦИОННЫЙ ВЗНОС</w:t>
      </w:r>
      <w:r>
        <w:rPr>
          <w:rFonts w:cs="Times New Roman" w:ascii="Times New Roman" w:hAnsi="Times New Roman"/>
          <w:sz w:val="28"/>
          <w:szCs w:val="28"/>
        </w:rPr>
        <w:t xml:space="preserve"> за участие в конференции составляет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1500 рублей</w:t>
      </w:r>
      <w:r>
        <w:rPr>
          <w:rFonts w:cs="Times New Roman" w:ascii="Times New Roman" w:hAnsi="Times New Roman"/>
          <w:b/>
          <w:sz w:val="28"/>
          <w:szCs w:val="28"/>
        </w:rPr>
        <w:t xml:space="preserve"> (для граждан РФ),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1700 рублей</w:t>
      </w:r>
      <w:r>
        <w:rPr>
          <w:rFonts w:cs="Times New Roman" w:ascii="Times New Roman" w:hAnsi="Times New Roman"/>
          <w:b/>
          <w:sz w:val="28"/>
          <w:szCs w:val="28"/>
        </w:rPr>
        <w:t xml:space="preserve"> (для граждан СНГ)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3000 рублей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(для граждан других стран),</w:t>
      </w:r>
      <w:r>
        <w:rPr>
          <w:rFonts w:cs="Times New Roman" w:ascii="Times New Roman" w:hAnsi="Times New Roman"/>
          <w:sz w:val="28"/>
          <w:szCs w:val="28"/>
        </w:rPr>
        <w:t xml:space="preserve"> и включает публикацию тезисов доклада (от 3 до 5 страниц), пересылку</w:t>
      </w:r>
      <w:r>
        <w:rPr>
          <w:rFonts w:eastAsia="Calibri" w:cs="Times New Roman" w:ascii="Times New Roman" w:hAnsi="Times New Roman"/>
          <w:sz w:val="28"/>
          <w:szCs w:val="28"/>
        </w:rPr>
        <w:t xml:space="preserve"> одного </w:t>
      </w:r>
      <w:r>
        <w:rPr>
          <w:rFonts w:cs="Times New Roman" w:ascii="Times New Roman" w:hAnsi="Times New Roman"/>
          <w:sz w:val="28"/>
          <w:szCs w:val="28"/>
        </w:rPr>
        <w:t xml:space="preserve">обязательного </w:t>
      </w:r>
      <w:r>
        <w:rPr>
          <w:rFonts w:eastAsia="Calibri" w:cs="Times New Roman" w:ascii="Times New Roman" w:hAnsi="Times New Roman"/>
          <w:sz w:val="28"/>
          <w:szCs w:val="28"/>
        </w:rPr>
        <w:t>сборник</w:t>
      </w:r>
      <w:r>
        <w:rPr>
          <w:rFonts w:cs="Times New Roman" w:ascii="Times New Roman" w:hAnsi="Times New Roman"/>
          <w:sz w:val="28"/>
          <w:szCs w:val="28"/>
        </w:rPr>
        <w:t xml:space="preserve">а материалов конференции и диплома участника конференции автору. Доплата за соавторов не требуется. </w:t>
      </w:r>
      <w:r>
        <w:rPr>
          <w:rFonts w:ascii="Times New Roman" w:hAnsi="Times New Roman"/>
          <w:sz w:val="28"/>
          <w:szCs w:val="28"/>
        </w:rPr>
        <w:t>Стоимость дополнительных опций смотрите в заявке.</w:t>
      </w:r>
      <w:r/>
    </w:p>
    <w:p>
      <w:pPr>
        <w:pStyle w:val="ListParagraph"/>
        <w:ind w:left="0" w:firstLine="708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Стоимость участия в конкурсе статей</w:t>
      </w:r>
      <w:r>
        <w:rPr>
          <w:rFonts w:cs="Times New Roman" w:ascii="Times New Roman" w:hAnsi="Times New Roman"/>
          <w:b/>
          <w:sz w:val="28"/>
          <w:szCs w:val="28"/>
        </w:rPr>
        <w:t xml:space="preserve"> «Научный прорыв-2015» </w:t>
      </w:r>
      <w:r>
        <w:rPr>
          <w:rFonts w:cs="Times New Roman" w:ascii="Times New Roman" w:hAnsi="Times New Roman"/>
          <w:sz w:val="28"/>
          <w:szCs w:val="28"/>
        </w:rPr>
        <w:t xml:space="preserve">составляет 500 рублей вне зависимости от количества соавторов публикации. Стоимость дополнительного Диплома для соавтора составляет (РФ – 250 руб., СНГ – 280 руб.). </w:t>
      </w:r>
      <w:r/>
    </w:p>
    <w:p>
      <w:pPr>
        <w:pStyle w:val="Normal"/>
        <w:spacing w:lineRule="auto" w:line="240"/>
        <w:ind w:firstLine="708"/>
        <w:jc w:val="center"/>
        <w:rPr>
          <w:sz w:val="28"/>
          <w:b/>
          <w:sz w:val="28"/>
          <w:b/>
          <w:szCs w:val="28"/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Уважаемые коллеги!</w:t>
      </w:r>
      <w:r/>
    </w:p>
    <w:p>
      <w:pPr>
        <w:pStyle w:val="Normal"/>
        <w:jc w:val="center"/>
      </w:pPr>
      <w:r>
        <w:rPr>
          <w:rFonts w:ascii="Times New Roman" w:hAnsi="Times New Roman"/>
          <w:b/>
          <w:sz w:val="28"/>
          <w:szCs w:val="28"/>
        </w:rPr>
        <w:t>Мы будем благодарны Вам за распространение данной информации среди широкого круга лиц, заинтересованных в участии в конференции и публикации материалов.</w:t>
      </w:r>
      <w:r/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1b488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>
    <w:name w:val="Интернет-ссылка"/>
    <w:basedOn w:val="DefaultParagraphFont"/>
    <w:uiPriority w:val="99"/>
    <w:unhideWhenUsed/>
    <w:rsid w:val="00fc0fa3"/>
    <w:rPr>
      <w:color w:val="0000FF" w:themeColor="hyperlink"/>
      <w:u w:val="single"/>
      <w:lang w:val="zxx" w:eastAsia="zxx" w:bidi="zxx"/>
    </w:rPr>
  </w:style>
  <w:style w:type="character" w:styleId="ListLabel1">
    <w:name w:val="ListLabel 1"/>
    <w:rPr>
      <w:rFonts w:cs="Courier New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b94e5f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ci-cooperation.ru/" TargetMode="External"/><Relationship Id="rId3" Type="http://schemas.openxmlformats.org/officeDocument/2006/relationships/hyperlink" Target="http://www.sci-cooperation.ru/authors/making_literature" TargetMode="External"/><Relationship Id="rId4" Type="http://schemas.openxmlformats.org/officeDocument/2006/relationships/hyperlink" Target="mailto:anna.bondarenko@sci-cooperation.ru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Application>LibreOffice/4.3.2.2$Windows_x86 LibreOffice_project/edfb5295ba211bd31ad47d0bad0118690f76407d</Application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2014-12-29T11:18:00Z</dcterms:created>
  <dc:creator>Anna</dc:creator>
  <dc:language>ru-RU</dc:language>
  <cp:lastModifiedBy>Anna</cp:lastModifiedBy>
  <dcterms:modified xsi:type="dcterms:W3CDTF">2015-02-02T10:41:00Z</dcterms:modified>
  <cp:revision>15</cp:revision>
</cp:coreProperties>
</file>